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5C" w:rsidRPr="00C03705" w:rsidRDefault="00D2645C" w:rsidP="00D2645C">
      <w:pPr>
        <w:spacing w:after="0"/>
        <w:rPr>
          <w:rFonts w:ascii="Times New Roman" w:hAnsi="Times New Roman"/>
          <w:sz w:val="28"/>
          <w:szCs w:val="28"/>
        </w:rPr>
      </w:pPr>
      <w:r w:rsidRPr="00C03705">
        <w:rPr>
          <w:rFonts w:ascii="Times New Roman" w:hAnsi="Times New Roman"/>
          <w:sz w:val="28"/>
          <w:szCs w:val="28"/>
        </w:rPr>
        <w:t xml:space="preserve">Informacija apie studijų programos </w:t>
      </w:r>
      <w:r w:rsidRPr="00C03705">
        <w:rPr>
          <w:rFonts w:ascii="Times New Roman" w:hAnsi="Times New Roman"/>
          <w:i/>
          <w:sz w:val="28"/>
          <w:szCs w:val="28"/>
        </w:rPr>
        <w:t>Skandinavistika</w:t>
      </w:r>
      <w:r w:rsidRPr="00C03705">
        <w:rPr>
          <w:rFonts w:ascii="Times New Roman" w:hAnsi="Times New Roman"/>
          <w:sz w:val="28"/>
          <w:szCs w:val="28"/>
        </w:rPr>
        <w:t xml:space="preserve"> pasirenkamuosius dalykus</w:t>
      </w:r>
    </w:p>
    <w:p w:rsidR="00D2645C" w:rsidRDefault="00D2645C" w:rsidP="00D2645C">
      <w:pPr>
        <w:spacing w:after="0"/>
        <w:rPr>
          <w:rFonts w:ascii="Times New Roman" w:hAnsi="Times New Roman"/>
          <w:sz w:val="24"/>
          <w:szCs w:val="24"/>
        </w:rPr>
      </w:pPr>
    </w:p>
    <w:p w:rsidR="00D2645C" w:rsidRDefault="00C03705" w:rsidP="00D264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Kaip jau informavome anksčiau, s</w:t>
      </w:r>
      <w:r w:rsidR="00D2645C" w:rsidRPr="00626B7E">
        <w:rPr>
          <w:rFonts w:ascii="Times New Roman" w:hAnsi="Times New Roman"/>
          <w:sz w:val="24"/>
          <w:szCs w:val="24"/>
        </w:rPr>
        <w:t xml:space="preserve">tudijų programoje </w:t>
      </w:r>
      <w:r w:rsidR="00D2645C" w:rsidRPr="00626B7E">
        <w:rPr>
          <w:rFonts w:ascii="Times New Roman" w:hAnsi="Times New Roman"/>
          <w:i/>
          <w:sz w:val="24"/>
          <w:szCs w:val="24"/>
        </w:rPr>
        <w:t>Skandinavistika</w:t>
      </w:r>
      <w:r w:rsidR="00D2645C">
        <w:rPr>
          <w:rFonts w:ascii="Times New Roman" w:hAnsi="Times New Roman"/>
          <w:sz w:val="24"/>
          <w:szCs w:val="24"/>
        </w:rPr>
        <w:t xml:space="preserve"> nuspręsta panaikinti laisvai pasirenkamus dalykus ir palikti tik pasirenkamuosius (skandinavistinius ir neskandinavistinius</w:t>
      </w:r>
      <w:r w:rsidR="002E58C7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D264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Tai laikinas sprendimas, kol universitete nėra duomenų bazės, leidžiančios studentui rinktis iš visų VU siūlomų pasirenkamųjų dalykų.</w:t>
      </w:r>
    </w:p>
    <w:p w:rsidR="00D2645C" w:rsidRDefault="00D2645C" w:rsidP="00D2645C">
      <w:pPr>
        <w:spacing w:after="0"/>
        <w:rPr>
          <w:rFonts w:ascii="Times New Roman" w:hAnsi="Times New Roman"/>
          <w:sz w:val="24"/>
          <w:szCs w:val="24"/>
        </w:rPr>
      </w:pPr>
    </w:p>
    <w:p w:rsidR="00D2645C" w:rsidRDefault="00D2645C" w:rsidP="00D2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Studijų komiteto sprendimu p</w:t>
      </w:r>
      <w:r>
        <w:rPr>
          <w:rFonts w:ascii="Times New Roman" w:hAnsi="Times New Roman"/>
          <w:sz w:val="24"/>
          <w:szCs w:val="24"/>
        </w:rPr>
        <w:t>atvirtint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BF7">
        <w:rPr>
          <w:rFonts w:ascii="Times New Roman" w:hAnsi="Times New Roman"/>
          <w:sz w:val="24"/>
          <w:szCs w:val="24"/>
        </w:rPr>
        <w:t>skandinavistinių pasirenkamųjų dalykų sąraš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3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52"/>
        <w:gridCol w:w="944"/>
        <w:gridCol w:w="1289"/>
      </w:tblGrid>
      <w:tr w:rsidR="00D2645C" w:rsidRPr="005D2A1A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9498F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8F">
              <w:rPr>
                <w:rFonts w:ascii="Times New Roman" w:hAnsi="Times New Roman"/>
                <w:sz w:val="24"/>
                <w:szCs w:val="24"/>
              </w:rPr>
              <w:t>H. C. Andersenas ir skandinavų pasakos pasaulis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Ibseno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dramų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pasaulis</w:t>
            </w:r>
            <w:proofErr w:type="spellEnd"/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8660D6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8660D6">
              <w:rPr>
                <w:rFonts w:ascii="Times New Roman" w:hAnsi="Times New Roman"/>
                <w:sz w:val="24"/>
                <w:szCs w:val="24"/>
                <w:lang w:val="pt-PT"/>
              </w:rPr>
              <w:t>Keltų religija ir mitologija (anglų kalba)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9498F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8F">
              <w:rPr>
                <w:rFonts w:ascii="Times New Roman" w:hAnsi="Times New Roman"/>
                <w:sz w:val="24"/>
                <w:szCs w:val="24"/>
              </w:rPr>
              <w:t>Novelės teorija ir skandinavų novelės raida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Senoji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islandų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kalba</w:t>
            </w:r>
            <w:proofErr w:type="spellEnd"/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9498F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8F">
              <w:rPr>
                <w:rFonts w:ascii="Times New Roman" w:hAnsi="Times New Roman"/>
                <w:sz w:val="24"/>
                <w:szCs w:val="24"/>
              </w:rPr>
              <w:t>Senoji skandinavų literatūra I/II d.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9498F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8F">
              <w:rPr>
                <w:rFonts w:ascii="Times New Roman" w:hAnsi="Times New Roman"/>
                <w:sz w:val="24"/>
                <w:szCs w:val="24"/>
              </w:rPr>
              <w:t>Senoji skandinavų literatūra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9498F">
              <w:rPr>
                <w:rFonts w:ascii="Times New Roman" w:hAnsi="Times New Roman"/>
                <w:sz w:val="24"/>
                <w:szCs w:val="24"/>
              </w:rPr>
              <w:t>/II d.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Sintetinis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Karen Blixen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pasaulis</w:t>
            </w:r>
            <w:proofErr w:type="spellEnd"/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9498F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8F">
              <w:rPr>
                <w:rFonts w:ascii="Times New Roman" w:hAnsi="Times New Roman"/>
                <w:sz w:val="24"/>
                <w:szCs w:val="24"/>
              </w:rPr>
              <w:t>Skandinavijos demokratijos ir gerovės modelis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Skandinavijos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identiteto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bruožai</w:t>
            </w:r>
            <w:proofErr w:type="spellEnd"/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Skandinavijos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kinematografija</w:t>
            </w:r>
            <w:proofErr w:type="spellEnd"/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Skandinavijos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kultūros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kanonai</w:t>
            </w:r>
            <w:proofErr w:type="spellEnd"/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8660D6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0D6">
              <w:rPr>
                <w:rFonts w:ascii="Times New Roman" w:hAnsi="Times New Roman"/>
                <w:sz w:val="24"/>
                <w:szCs w:val="24"/>
              </w:rPr>
              <w:t>Suomių tautinių šokių ir muzikos tradicija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Šiuolaikinė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danų</w:t>
            </w:r>
            <w:proofErr w:type="spellEnd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ironija</w:t>
            </w:r>
            <w:proofErr w:type="spellEnd"/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1371D7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8F">
              <w:rPr>
                <w:rFonts w:ascii="Times New Roman" w:hAnsi="Times New Roman"/>
                <w:sz w:val="24"/>
                <w:szCs w:val="24"/>
              </w:rPr>
              <w:t>Šiuolaikinė suomių kalba, kultūra ir visuomenė I-IV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1371D7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1371D7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9498F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98F">
              <w:rPr>
                <w:rFonts w:ascii="Times New Roman" w:hAnsi="Times New Roman"/>
                <w:sz w:val="24"/>
                <w:szCs w:val="24"/>
              </w:rPr>
              <w:t>Šiuolaikinė suomių kalba I-IV d.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blPrEx>
          <w:tblBorders>
            <w:top w:val="none" w:sz="0" w:space="0" w:color="auto"/>
          </w:tblBorders>
        </w:tblPrEx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9498F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Šiuolaikinė islandų kalba I-IV d.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7,5/5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RPr="005D2A1A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9498F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Šiuolaikinės švedų poezijos istorija (švedų kalba)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D2645C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Šiuolaikinės skandinavų prozos tendencijos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D2645C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4F44E2" w:rsidRDefault="00D2645C" w:rsidP="00566572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4E2">
              <w:rPr>
                <w:rFonts w:ascii="Times New Roman" w:hAnsi="Times New Roman"/>
                <w:sz w:val="24"/>
                <w:szCs w:val="24"/>
              </w:rPr>
              <w:t>Skandinavų kalbų ideologijos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7.5/5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D2645C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4F44E2" w:rsidRDefault="00D2645C" w:rsidP="00566572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4E2">
              <w:rPr>
                <w:rFonts w:ascii="Times New Roman" w:hAnsi="Times New Roman"/>
                <w:sz w:val="24"/>
                <w:szCs w:val="24"/>
              </w:rPr>
              <w:t xml:space="preserve">Cognitive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F44E2">
              <w:rPr>
                <w:rFonts w:ascii="Times New Roman" w:hAnsi="Times New Roman"/>
                <w:sz w:val="24"/>
                <w:szCs w:val="24"/>
              </w:rPr>
              <w:t xml:space="preserve">iscourse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F44E2">
              <w:rPr>
                <w:rFonts w:ascii="Times New Roman" w:hAnsi="Times New Roman"/>
                <w:sz w:val="24"/>
                <w:szCs w:val="24"/>
              </w:rPr>
              <w:t xml:space="preserve">nalysis in the Scandinavian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F44E2">
              <w:rPr>
                <w:rFonts w:ascii="Times New Roman" w:hAnsi="Times New Roman"/>
                <w:sz w:val="24"/>
                <w:szCs w:val="24"/>
              </w:rPr>
              <w:t xml:space="preserve">anguage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4F44E2">
              <w:rPr>
                <w:rFonts w:ascii="Times New Roman" w:hAnsi="Times New Roman"/>
                <w:sz w:val="24"/>
                <w:szCs w:val="24"/>
              </w:rPr>
              <w:t>egion (anglų kalba)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7.5/5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D2645C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4F44E2" w:rsidRDefault="00D2645C" w:rsidP="00566572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Augusto Strindbergo dramaturgija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D2645C" w:rsidRPr="005D2A1A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88629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Akademinis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šymas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5D2A1A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D2645C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4F44E2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4F44E2">
              <w:rPr>
                <w:rFonts w:ascii="Times New Roman" w:hAnsi="Times New Roman"/>
                <w:sz w:val="24"/>
                <w:szCs w:val="24"/>
                <w:lang w:val="da-DK"/>
              </w:rPr>
              <w:t>Skandinavistikos seminaras I-V d.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D2645C" w:rsidTr="00566572">
        <w:tc>
          <w:tcPr>
            <w:tcW w:w="7152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Pr="003E75E5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0D6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Language and Ideology/Kalba ir ideologija (anglų kalba)</w:t>
            </w:r>
          </w:p>
        </w:tc>
        <w:tc>
          <w:tcPr>
            <w:tcW w:w="944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7,5/5</w:t>
            </w:r>
          </w:p>
        </w:tc>
        <w:tc>
          <w:tcPr>
            <w:tcW w:w="1289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53" w:type="nil"/>
              <w:left w:w="20" w:type="nil"/>
              <w:bottom w:w="20" w:type="nil"/>
              <w:right w:w="53" w:type="nil"/>
            </w:tcMar>
            <w:vAlign w:val="center"/>
          </w:tcPr>
          <w:p w:rsidR="00D2645C" w:rsidRDefault="00D2645C" w:rsidP="00566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</w:tbl>
    <w:p w:rsidR="00D2645C" w:rsidRDefault="00D2645C" w:rsidP="00D2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645C" w:rsidRDefault="00D2645C" w:rsidP="00D2645C">
      <w:pPr>
        <w:rPr>
          <w:rFonts w:ascii="Times New Roman" w:hAnsi="Times New Roman"/>
          <w:sz w:val="24"/>
          <w:szCs w:val="24"/>
        </w:rPr>
      </w:pPr>
      <w:r w:rsidRPr="005A15E2">
        <w:rPr>
          <w:rFonts w:ascii="Times New Roman" w:hAnsi="Times New Roman"/>
          <w:sz w:val="24"/>
          <w:szCs w:val="24"/>
        </w:rPr>
        <w:t xml:space="preserve">Iš </w:t>
      </w:r>
      <w:r>
        <w:rPr>
          <w:rFonts w:ascii="Times New Roman" w:hAnsi="Times New Roman"/>
          <w:sz w:val="24"/>
          <w:szCs w:val="24"/>
        </w:rPr>
        <w:t xml:space="preserve">skandinavistinių pasirenkamųjų </w:t>
      </w:r>
      <w:r w:rsidRPr="005A15E2">
        <w:rPr>
          <w:rFonts w:ascii="Times New Roman" w:hAnsi="Times New Roman"/>
          <w:sz w:val="24"/>
          <w:szCs w:val="24"/>
        </w:rPr>
        <w:t>dalykų</w:t>
      </w:r>
      <w:r>
        <w:rPr>
          <w:rFonts w:ascii="Times New Roman" w:hAnsi="Times New Roman"/>
          <w:sz w:val="24"/>
          <w:szCs w:val="24"/>
        </w:rPr>
        <w:t xml:space="preserve"> (toliau – PD)</w:t>
      </w:r>
      <w:r w:rsidRPr="005A15E2">
        <w:rPr>
          <w:rFonts w:ascii="Times New Roman" w:hAnsi="Times New Roman"/>
          <w:sz w:val="24"/>
          <w:szCs w:val="24"/>
        </w:rPr>
        <w:t xml:space="preserve"> per ketverius studijų metus studentas privalo surinkti </w:t>
      </w:r>
      <w:r w:rsidRPr="005A15E2">
        <w:rPr>
          <w:rFonts w:ascii="Times New Roman" w:hAnsi="Times New Roman"/>
          <w:b/>
          <w:sz w:val="24"/>
          <w:szCs w:val="24"/>
        </w:rPr>
        <w:t>ne mažiau 30 kreditų</w:t>
      </w:r>
      <w:r>
        <w:rPr>
          <w:rFonts w:ascii="Times New Roman" w:hAnsi="Times New Roman"/>
          <w:sz w:val="24"/>
          <w:szCs w:val="24"/>
        </w:rPr>
        <w:t xml:space="preserve">, o pasirinkęs gretutines studijas − </w:t>
      </w:r>
      <w:r w:rsidRPr="005A15E2">
        <w:rPr>
          <w:rFonts w:ascii="Times New Roman" w:hAnsi="Times New Roman"/>
          <w:b/>
          <w:sz w:val="24"/>
          <w:szCs w:val="24"/>
        </w:rPr>
        <w:t>ne mažiau 15 kreditų</w:t>
      </w:r>
      <w:r w:rsidRPr="005A15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Ši nuostata </w:t>
      </w:r>
      <w:r w:rsidRPr="00490BF7">
        <w:rPr>
          <w:rFonts w:ascii="Times New Roman" w:hAnsi="Times New Roman"/>
          <w:b/>
          <w:sz w:val="24"/>
          <w:szCs w:val="24"/>
        </w:rPr>
        <w:t>netaikoma</w:t>
      </w:r>
      <w:r>
        <w:rPr>
          <w:rFonts w:ascii="Times New Roman" w:hAnsi="Times New Roman"/>
          <w:sz w:val="24"/>
          <w:szCs w:val="24"/>
        </w:rPr>
        <w:t xml:space="preserve"> Suomių ir švedų programos varianto studentams − jie pasirenkamuosius dalykus renkasi laisvai.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645C" w:rsidRDefault="00D2645C" w:rsidP="00D2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Skandinavistinius PD studentas gali kombinuoti įvairiai: 4 x 7,5 kred. arba 3 x 7,5 kred. + 3 x 2,5 kred., arba 2 x 7,5 kred. + </w:t>
      </w:r>
      <w:r w:rsidR="00C037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x 5 kred.</w:t>
      </w:r>
      <w:r w:rsidR="00C03705">
        <w:rPr>
          <w:rFonts w:ascii="Times New Roman" w:hAnsi="Times New Roman"/>
          <w:sz w:val="24"/>
          <w:szCs w:val="24"/>
        </w:rPr>
        <w:t xml:space="preserve"> (kai kurie skandinavistiniai PD yra ir už 7,5, ir už 5 kred., tai atsispindi dalyko apraše)</w:t>
      </w:r>
      <w:r>
        <w:rPr>
          <w:rFonts w:ascii="Times New Roman" w:hAnsi="Times New Roman"/>
          <w:sz w:val="24"/>
          <w:szCs w:val="24"/>
        </w:rPr>
        <w:t xml:space="preserve"> ir pan. Studentas gali skandinavistiniams dalykams skirti ir visus 60 PD kreditų.</w:t>
      </w:r>
    </w:p>
    <w:p w:rsidR="00C03705" w:rsidRDefault="00C03705" w:rsidP="00D2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PD (ir skandinavistinius, ir neskandinavistinius) matysite duomenų bazėje kartu su dalykų aprašais. Norime pabrėžti, kad dalykų sąrašas nėra baigtinis</w:t>
      </w:r>
      <w:r w:rsidR="002E58C7">
        <w:rPr>
          <w:rFonts w:ascii="Times New Roman" w:hAnsi="Times New Roman"/>
          <w:sz w:val="24"/>
          <w:szCs w:val="24"/>
        </w:rPr>
        <w:t>, jį toliau plėsime, o universitetui įdiegus naują duomenų bazę, įliesime į bendrą VU PD sąrašą</w:t>
      </w:r>
      <w:r>
        <w:rPr>
          <w:rFonts w:ascii="Times New Roman" w:hAnsi="Times New Roman"/>
          <w:sz w:val="24"/>
          <w:szCs w:val="24"/>
        </w:rPr>
        <w:t xml:space="preserve">. Jei </w:t>
      </w:r>
      <w:r w:rsidR="000612D1">
        <w:rPr>
          <w:rFonts w:ascii="Times New Roman" w:hAnsi="Times New Roman"/>
          <w:sz w:val="24"/>
          <w:szCs w:val="24"/>
        </w:rPr>
        <w:t>sąraše nerandate jus dominančių dalykų, galite kreiptis į studentų atstoves studijų programos komitete – Tomą Limontaitę ir Liną Poškutę – ir pateikti pageidavimus dėl dalykų, kuriuos norėtumėte studijuoti. Jei dalyk</w:t>
      </w:r>
      <w:r w:rsidR="002E58C7">
        <w:rPr>
          <w:rFonts w:ascii="Times New Roman" w:hAnsi="Times New Roman"/>
          <w:sz w:val="24"/>
          <w:szCs w:val="24"/>
        </w:rPr>
        <w:t>as</w:t>
      </w:r>
      <w:r w:rsidR="000612D1">
        <w:rPr>
          <w:rFonts w:ascii="Times New Roman" w:hAnsi="Times New Roman"/>
          <w:sz w:val="24"/>
          <w:szCs w:val="24"/>
        </w:rPr>
        <w:t xml:space="preserve"> </w:t>
      </w:r>
      <w:r w:rsidR="002E58C7">
        <w:rPr>
          <w:rFonts w:ascii="Times New Roman" w:hAnsi="Times New Roman"/>
          <w:sz w:val="24"/>
          <w:szCs w:val="24"/>
        </w:rPr>
        <w:t>aktualus ne vienam studentui</w:t>
      </w:r>
      <w:r w:rsidR="000612D1">
        <w:rPr>
          <w:rFonts w:ascii="Times New Roman" w:hAnsi="Times New Roman"/>
          <w:sz w:val="24"/>
          <w:szCs w:val="24"/>
        </w:rPr>
        <w:t>, sieksime, kad jis būtų įtrauktas į studijų programos PD sąrašą. Be to, nepamirškite, kad</w:t>
      </w:r>
      <w:r w:rsidR="002E58C7">
        <w:rPr>
          <w:rFonts w:ascii="Times New Roman" w:hAnsi="Times New Roman"/>
          <w:sz w:val="24"/>
          <w:szCs w:val="24"/>
        </w:rPr>
        <w:t xml:space="preserve">, </w:t>
      </w:r>
      <w:r w:rsidR="002E58C7">
        <w:rPr>
          <w:rFonts w:ascii="Times New Roman" w:hAnsi="Times New Roman"/>
          <w:sz w:val="24"/>
          <w:szCs w:val="24"/>
        </w:rPr>
        <w:t>sudarydami individualų studijų planą</w:t>
      </w:r>
      <w:r w:rsidR="002E58C7">
        <w:rPr>
          <w:rFonts w:ascii="Times New Roman" w:hAnsi="Times New Roman"/>
          <w:sz w:val="24"/>
          <w:szCs w:val="24"/>
        </w:rPr>
        <w:t>,</w:t>
      </w:r>
      <w:r w:rsidR="000612D1">
        <w:rPr>
          <w:rFonts w:ascii="Times New Roman" w:hAnsi="Times New Roman"/>
          <w:sz w:val="24"/>
          <w:szCs w:val="24"/>
        </w:rPr>
        <w:t xml:space="preserve"> turite teisę pasirinkti bet kurį VU dalyką, kurio išankstinius reikalavimus atitinkate (taip pat po vieną dalyką per semestrą iš </w:t>
      </w:r>
      <w:r w:rsidR="002E58C7">
        <w:rPr>
          <w:rFonts w:ascii="Times New Roman" w:hAnsi="Times New Roman"/>
          <w:sz w:val="24"/>
          <w:szCs w:val="24"/>
        </w:rPr>
        <w:t>Lietuvos muzikos ir teatro akademijos ar Vilniaus dailės akademijos)</w:t>
      </w:r>
      <w:r w:rsidR="000612D1">
        <w:rPr>
          <w:rFonts w:ascii="Times New Roman" w:hAnsi="Times New Roman"/>
          <w:sz w:val="24"/>
          <w:szCs w:val="24"/>
        </w:rPr>
        <w:t xml:space="preserve">.  </w:t>
      </w:r>
    </w:p>
    <w:p w:rsidR="002E58C7" w:rsidRDefault="002E58C7" w:rsidP="00D2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Iškilus klausimams, kreipkitės į studentų atstoves </w:t>
      </w:r>
      <w:r>
        <w:rPr>
          <w:rFonts w:ascii="Times New Roman" w:hAnsi="Times New Roman"/>
          <w:sz w:val="24"/>
          <w:szCs w:val="24"/>
        </w:rPr>
        <w:t xml:space="preserve">Tomą Limontaitę ir Liną Poškutę </w:t>
      </w:r>
      <w:r>
        <w:rPr>
          <w:rFonts w:ascii="Times New Roman" w:hAnsi="Times New Roman"/>
          <w:sz w:val="24"/>
          <w:szCs w:val="24"/>
        </w:rPr>
        <w:t>arba studijų programos komiteto pirmininkę Birutę Spraunienę.</w:t>
      </w:r>
    </w:p>
    <w:p w:rsidR="002E58C7" w:rsidRDefault="002E58C7" w:rsidP="00D2645C">
      <w:pPr>
        <w:rPr>
          <w:rFonts w:ascii="Times New Roman" w:hAnsi="Times New Roman"/>
          <w:sz w:val="24"/>
          <w:szCs w:val="24"/>
        </w:rPr>
      </w:pPr>
    </w:p>
    <w:p w:rsidR="00D2645C" w:rsidRDefault="00D2645C" w:rsidP="00D2645C">
      <w:pPr>
        <w:rPr>
          <w:rFonts w:ascii="Times New Roman" w:hAnsi="Times New Roman"/>
          <w:sz w:val="24"/>
          <w:szCs w:val="24"/>
        </w:rPr>
      </w:pPr>
    </w:p>
    <w:p w:rsidR="00D2645C" w:rsidRDefault="00D2645C" w:rsidP="00D2645C">
      <w:pPr>
        <w:rPr>
          <w:rFonts w:ascii="Times New Roman" w:hAnsi="Times New Roman"/>
          <w:sz w:val="24"/>
          <w:szCs w:val="24"/>
        </w:rPr>
      </w:pPr>
    </w:p>
    <w:p w:rsidR="00D2645C" w:rsidRDefault="00D2645C" w:rsidP="00D2645C">
      <w:pPr>
        <w:rPr>
          <w:rFonts w:ascii="Times New Roman" w:hAnsi="Times New Roman"/>
          <w:sz w:val="24"/>
          <w:szCs w:val="24"/>
        </w:rPr>
      </w:pPr>
    </w:p>
    <w:p w:rsidR="00FE12DA" w:rsidRDefault="00FE12DA"/>
    <w:sectPr w:rsidR="00FE12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5C"/>
    <w:rsid w:val="000612D1"/>
    <w:rsid w:val="002E58C7"/>
    <w:rsid w:val="002F0193"/>
    <w:rsid w:val="00C03705"/>
    <w:rsid w:val="00D2645C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Katedra</cp:lastModifiedBy>
  <cp:revision>1</cp:revision>
  <dcterms:created xsi:type="dcterms:W3CDTF">2017-02-13T14:32:00Z</dcterms:created>
  <dcterms:modified xsi:type="dcterms:W3CDTF">2017-02-13T15:20:00Z</dcterms:modified>
</cp:coreProperties>
</file>